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李堉林猥亵儿童案</w:t>
      </w:r>
    </w:p>
    <w:bookmarkEnd w:id="0"/>
    <w:p>
      <w:pPr>
        <w:jc w:val="center"/>
        <w:rPr>
          <w:rFonts w:hint="eastAsia"/>
        </w:rPr>
      </w:pPr>
      <w:r>
        <w:rPr>
          <w:rFonts w:hint="eastAsia"/>
        </w:rPr>
        <w:t>2019-07-24 13:00:43 | 来源：最高人民法院</w:t>
      </w:r>
    </w:p>
    <w:p>
      <w:pPr>
        <w:rPr>
          <w:rFonts w:hint="eastAsia"/>
        </w:rPr>
      </w:pPr>
      <w:r>
        <w:rPr>
          <w:rFonts w:hint="eastAsia"/>
        </w:rPr>
        <w:t>　　（一）基本案情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2018年3月，被告人李堉林（32岁）通过手机同性交友软件结识被害人C某（男，时年13岁），后李堉林通过网络聊天得知C某系未成年人、初二学生。同月17日下午，李堉林到四川省某酒店房间登记入住，并邀约C某到该房间见面与其发生了同性性行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（二）裁判结果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四川省某县人民检察院以被告人李堉林犯猥亵儿童罪提起公诉。四川省某县人民法院经审理认为，李堉林为满足性欲，采用进行同性性行为的方式对不满十四周岁的男性儿童实施猥亵，其行为已构成猥亵儿童罪，应当依法从重处罚。依照《中华人民共和国刑法》第二百三十七条第一款、第三款的规定，以猥亵儿童罪判处被告人李堉林有期徒刑三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宣判后，被告人李堉林提出上诉。四川省某市中级人民法院经依法审理，裁定驳回上诉，维持原判。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（三）典型意义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本案系性侵害男童的一起典型案例。儿童处于生理发育初期，人生观、价值观尚不成熟，欠缺足够的辨别是非和自我保护能力，法律对儿童群体的身心健康应给予特殊、优先保护。本案中，被告人李堉林作为成年男性，引诱男童与其发生性行为，严重伤害儿童身心健康，人民法院判决其构成猥亵儿童罪，并依法对其从重处罚，向社会公众传递出依法平等保护男童的明确导向，也希望学校和家庭对男童的性安全教育给予同等重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2980"/>
    <w:rsid w:val="213F2653"/>
    <w:rsid w:val="240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孟卫军</cp:lastModifiedBy>
  <dcterms:modified xsi:type="dcterms:W3CDTF">2019-07-25T00:47:49Z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